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FE" w:rsidRPr="00AE3E1E" w:rsidRDefault="00B309FE" w:rsidP="00E2732F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TABLE OF CONTENTS</w:t>
      </w:r>
    </w:p>
    <w:p w:rsidR="00B309FE" w:rsidRPr="00AE3E1E" w:rsidRDefault="00B309FE" w:rsidP="00E2732F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(ONLY)</w:t>
      </w:r>
    </w:p>
    <w:p w:rsidR="00B309FE" w:rsidRPr="00AE3E1E" w:rsidRDefault="00B309FE" w:rsidP="00E2732F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(For Policy and Procedures Manual)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GENERAL POLICIES</w:t>
      </w:r>
    </w:p>
    <w:p w:rsidR="00E2732F" w:rsidRDefault="00E2732F" w:rsidP="00E2732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E2732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Organizational Structure</w:t>
      </w:r>
    </w:p>
    <w:p w:rsidR="00B309FE" w:rsidRPr="00AE3E1E" w:rsidRDefault="00B309FE" w:rsidP="00E2732F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The Role of the Board of Directors, Committee Structure, Finance Committee Responsibilities,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Audit, Committee Responsibilities, the Roles of the Executive Director and Staff</w:t>
      </w:r>
    </w:p>
    <w:p w:rsidR="00E2732F" w:rsidRDefault="00E2732F" w:rsidP="00E2732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E2732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Accounting Department Overview</w:t>
      </w:r>
    </w:p>
    <w:p w:rsidR="00B309FE" w:rsidRPr="00AE3E1E" w:rsidRDefault="00B309FE" w:rsidP="00E2732F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Organization, Responsibilities</w:t>
      </w:r>
    </w:p>
    <w:p w:rsidR="00E2732F" w:rsidRDefault="00E2732F" w:rsidP="00E2732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E2732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Business Conduct</w:t>
      </w:r>
    </w:p>
    <w:p w:rsidR="00B309FE" w:rsidRPr="00AE3E1E" w:rsidRDefault="00B309FE" w:rsidP="00E2732F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Practice of Ethical Behavior, Conflicts of Interest, Other Irregularities, Compliance with Laws,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Regulations and Organization Policies, Disciplinary Action</w:t>
      </w:r>
    </w:p>
    <w:p w:rsidR="00E2732F" w:rsidRDefault="00E2732F" w:rsidP="00E2732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E2732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Fraud Policy</w:t>
      </w:r>
    </w:p>
    <w:p w:rsidR="00B309FE" w:rsidRPr="00AE3E1E" w:rsidRDefault="00B309FE" w:rsidP="00E2732F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 xml:space="preserve">Scope, Policy, Actions Constituting Fraud, </w:t>
      </w:r>
      <w:r w:rsidR="00672057">
        <w:rPr>
          <w:rFonts w:asciiTheme="majorHAnsi" w:hAnsiTheme="majorHAnsi" w:cs="Times New Roman"/>
          <w:sz w:val="20"/>
          <w:szCs w:val="20"/>
        </w:rPr>
        <w:t>I</w:t>
      </w:r>
      <w:r w:rsidR="00672057" w:rsidRPr="00AE3E1E">
        <w:rPr>
          <w:rFonts w:asciiTheme="majorHAnsi" w:hAnsiTheme="majorHAnsi" w:cs="Times New Roman"/>
          <w:sz w:val="20"/>
          <w:szCs w:val="20"/>
        </w:rPr>
        <w:t>nvestigation</w:t>
      </w:r>
      <w:r w:rsidRPr="00AE3E1E">
        <w:rPr>
          <w:rFonts w:asciiTheme="majorHAnsi" w:hAnsiTheme="majorHAnsi" w:cs="Times New Roman"/>
          <w:sz w:val="20"/>
          <w:szCs w:val="20"/>
        </w:rPr>
        <w:t xml:space="preserve"> Responsibilities, Confidentiality, Authority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="00672057">
        <w:rPr>
          <w:rFonts w:asciiTheme="majorHAnsi" w:hAnsiTheme="majorHAnsi" w:cs="Times New Roman"/>
          <w:sz w:val="20"/>
          <w:szCs w:val="20"/>
        </w:rPr>
        <w:t>for I</w:t>
      </w:r>
      <w:r w:rsidRPr="00AE3E1E">
        <w:rPr>
          <w:rFonts w:asciiTheme="majorHAnsi" w:hAnsiTheme="majorHAnsi" w:cs="Times New Roman"/>
          <w:sz w:val="20"/>
          <w:szCs w:val="20"/>
        </w:rPr>
        <w:t>nvestigation of Suspected Fraud, Reporting Procedures</w:t>
      </w:r>
    </w:p>
    <w:p w:rsidR="00E2732F" w:rsidRDefault="00E2732F" w:rsidP="00E2732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E2732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Security</w:t>
      </w:r>
    </w:p>
    <w:p w:rsidR="00B309FE" w:rsidRPr="00AE3E1E" w:rsidRDefault="00B309FE" w:rsidP="00E2732F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Accounting Department, Access to Electronically Stored Accounting Data, Storage of Back-up Files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General Office Security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Technology and Electronic Communications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Purpose and Scope , Acceptable Use of Organization Property, Password Security, Confidentiality,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Copyrighted Information, Installation of Software, Other Prohibited Uses, Disciplinary Action for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Violations, Reporting of Suspected Violations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General Ledger and Chart of Accounts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Chart of Accounts Overview, Distribution of Chart of Accounts, Control of Chart of Accounts,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Account Definitions, Classification of Net Assets, Changes to the Chart of Accounts, Fiscal Year of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Organization, Journal Entries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POLICIES ASSOCIATED WITH REVENUES AND CASH RECEIPTS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Revenue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Revenue Recognition Policies, Refunds of Revenue Received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Contributions Received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Definitions, Distinguishing Contributions from Exchange Transactions, Accounting for Contributions,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Accounting for Volunteer Labor, Receipts and Disclosures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Billing</w:t>
      </w:r>
      <w:r w:rsidR="00672057">
        <w:rPr>
          <w:rFonts w:asciiTheme="majorHAnsi" w:hAnsiTheme="majorHAnsi" w:cs="Times New Roman"/>
          <w:b/>
          <w:bCs/>
          <w:sz w:val="20"/>
          <w:szCs w:val="20"/>
        </w:rPr>
        <w:t xml:space="preserve"> and I</w:t>
      </w:r>
      <w:r w:rsidRPr="00AE3E1E">
        <w:rPr>
          <w:rFonts w:asciiTheme="majorHAnsi" w:hAnsiTheme="majorHAnsi" w:cs="Times New Roman"/>
          <w:b/>
          <w:bCs/>
          <w:sz w:val="20"/>
          <w:szCs w:val="20"/>
        </w:rPr>
        <w:t>nvoicing Policies</w:t>
      </w:r>
    </w:p>
    <w:p w:rsidR="008732E2" w:rsidRPr="00AE3E1E" w:rsidRDefault="00B309FE" w:rsidP="00E2732F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Overview, Responsibilities for Billing and Collection, Membership Billing, Project Invoicing (Non-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Membership), Accounts Receivable Entry Policies, Classification of Income and Net Assets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Cash Receipts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Overview, Processing of Checks and Cash Received in the Mail, Endorsement of Checks,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Timeliness of Bank Deposits, Reconciliation of Deposits, Use of Lockbox, Processing of Lockbox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Receipts, Processing of Credit Cards, On-Site Collections at Conferences and Seminars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Accounts Receivable Management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lastRenderedPageBreak/>
        <w:t>Monitoring and Reconciliations, Collections, Credits and Other Adjustments to Accounts Receivable,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Accounts Receivable Write-Off Authorization Procedures, Reserve for Uncollectible Accounts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POLICIES ASSOCIATED WITH EXPENDITURES AND DISBURSEMENTS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Purchasing Policies and Procedures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Overview, Responsibility for Purchasing, Non-Discrimination Policy, Use of Purchase Orders,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Purchases of $5,000 or Less, Authorizations and Purchasing Limits, Required Solicitation of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Quotations from Vendors, Extension of Due Dates and Receipt of Late Proposals, Evaluation of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Alternative Vendors, Affirmative Consideration of Minority, Small Business &amp; Women-Owned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Business , Special Purchasing Conditions, Vendor Files and Required Documentation, Ethical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Conduct in Purchasing, Conflicts of Interest Prohibited, Receipt and Acceptance of Goods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Political Intervention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Prohibited Expenditures, Endorsements of Candidates, Prohibited Use of Organization Assets and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Resources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Accounts Payable Management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Overview, Recording of Accounts Payable, Accounts Payable Cut-off, Establishment of Control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Devices, Preparation of a Voucher Package, Processing of Voucher Packages, Payment Discounts,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Employee Expense Reports, Reconciliation of AIP Subsidiary Ledger to General Ledger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Travel and Business Entertainment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Employee and Director Business Travel, Reasonableness of Travel Costs, Special Rules Pertaining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 xml:space="preserve">to Air </w:t>
      </w:r>
      <w:r w:rsidR="00E2732F">
        <w:rPr>
          <w:rFonts w:asciiTheme="majorHAnsi" w:hAnsiTheme="majorHAnsi" w:cs="Times New Roman"/>
          <w:sz w:val="20"/>
          <w:szCs w:val="20"/>
        </w:rPr>
        <w:t>Travel, Spouse/</w:t>
      </w:r>
      <w:r w:rsidRPr="00AE3E1E">
        <w:rPr>
          <w:rFonts w:asciiTheme="majorHAnsi" w:hAnsiTheme="majorHAnsi" w:cs="Times New Roman"/>
          <w:sz w:val="20"/>
          <w:szCs w:val="20"/>
        </w:rPr>
        <w:t>Partner Travel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Cash Disbursement (Check-Writing) Policies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 xml:space="preserve">Check Preparation, Check Signing, Mailing of Checks, Voided Checks and Stop Payments, Record-Keeping Associated with </w:t>
      </w:r>
      <w:r w:rsidR="00E2732F" w:rsidRPr="00AE3E1E">
        <w:rPr>
          <w:rFonts w:asciiTheme="majorHAnsi" w:hAnsiTheme="majorHAnsi" w:cs="Times New Roman"/>
          <w:sz w:val="20"/>
          <w:szCs w:val="20"/>
        </w:rPr>
        <w:t>independent</w:t>
      </w:r>
      <w:r w:rsidRPr="00AE3E1E">
        <w:rPr>
          <w:rFonts w:asciiTheme="majorHAnsi" w:hAnsiTheme="majorHAnsi" w:cs="Times New Roman"/>
          <w:sz w:val="20"/>
          <w:szCs w:val="20"/>
        </w:rPr>
        <w:t xml:space="preserve"> Contractors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Payroll and Related Policies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Cla</w:t>
      </w:r>
      <w:r w:rsidR="00672057">
        <w:rPr>
          <w:rFonts w:asciiTheme="majorHAnsi" w:hAnsiTheme="majorHAnsi" w:cs="Times New Roman"/>
          <w:sz w:val="20"/>
          <w:szCs w:val="20"/>
        </w:rPr>
        <w:t>ssification of Workers as I</w:t>
      </w:r>
      <w:r w:rsidRPr="00AE3E1E">
        <w:rPr>
          <w:rFonts w:asciiTheme="majorHAnsi" w:hAnsiTheme="majorHAnsi" w:cs="Times New Roman"/>
          <w:sz w:val="20"/>
          <w:szCs w:val="20"/>
        </w:rPr>
        <w:t>ndependent Contractors or Employees, Payroll Administration,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Changes in Payroll Data, Payroll Taxes, Preparation of Timesheets, Processing of Timesheets,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Review of Payroll, Distribution of Payroll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POLICIES PERTAINING TO SPECIFIC ASSET AND LIABILITY ACCOUNTS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Cash and Cash Management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Cash Accounts, Bank Reconciliations, Cash Flow Management, Stale Checks, Petty Cash, Wire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Transfers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Inventory</w:t>
      </w:r>
    </w:p>
    <w:p w:rsidR="00B309FE" w:rsidRPr="00AE3E1E" w:rsidRDefault="00B309FE" w:rsidP="00B309FE">
      <w:pPr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Description of Inventory, Accounting for Inventory, Physical Counts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Prepaid Expenses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Accounting Treatment, Procedures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672057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I</w:t>
      </w:r>
      <w:r w:rsidR="00B309FE" w:rsidRPr="00AE3E1E">
        <w:rPr>
          <w:rFonts w:asciiTheme="majorHAnsi" w:hAnsiTheme="majorHAnsi" w:cs="Times New Roman"/>
          <w:b/>
          <w:bCs/>
          <w:sz w:val="20"/>
          <w:szCs w:val="20"/>
        </w:rPr>
        <w:t>nvestment Policies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Introduc</w:t>
      </w:r>
      <w:r w:rsidR="00672057">
        <w:rPr>
          <w:rFonts w:asciiTheme="majorHAnsi" w:hAnsiTheme="majorHAnsi" w:cs="Times New Roman"/>
          <w:sz w:val="20"/>
          <w:szCs w:val="20"/>
        </w:rPr>
        <w:t>tion, Delegation of Authority, I</w:t>
      </w:r>
      <w:r w:rsidRPr="00AE3E1E">
        <w:rPr>
          <w:rFonts w:asciiTheme="majorHAnsi" w:hAnsiTheme="majorHAnsi" w:cs="Times New Roman"/>
          <w:sz w:val="20"/>
          <w:szCs w:val="20"/>
        </w:rPr>
        <w:t>nvestment Objectives, Allowable Investments, Diversification,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Accounting Treatment, Procedures and Reporting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Fixed Asset Management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Capitalization Policy, Contributed Assets, Establishment and Maintenance of a Fixed Asset Listing,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Receipt of Newly-Purchased Equipment and Furniture, Depreciation and Useful Lives, Repairs of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Fixed Assets, Dispositions of Fixed Assets, Write-offs of Fixed Assets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Leases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Classification of Leases, Accounting for Leases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Accrued Liabilities</w:t>
      </w:r>
    </w:p>
    <w:p w:rsidR="00B309FE" w:rsidRPr="00AE3E1E" w:rsidRDefault="00672057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I</w:t>
      </w:r>
      <w:r w:rsidR="00B309FE" w:rsidRPr="00AE3E1E">
        <w:rPr>
          <w:rFonts w:asciiTheme="majorHAnsi" w:hAnsiTheme="majorHAnsi" w:cs="Times New Roman"/>
          <w:sz w:val="20"/>
          <w:szCs w:val="20"/>
        </w:rPr>
        <w:t>dentification of Liabilities, Accrued Leave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Notes Payable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Record-Keeping, Accounting and Classification, Non-Interest-Bearing Notes Payable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POLICIES ASSOCIATED WITH FINANCIAL AND TAX REPORTING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Financial Statements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Standard Financial Statements of the Organization, Frequency of Preparation, Review and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Distribution, Annual Financial Statements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Government Returns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Overview, Filing of Returns, Public Access to Information Returns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Unrelated Business Activities</w:t>
      </w:r>
    </w:p>
    <w:p w:rsidR="00B309FE" w:rsidRPr="00AE3E1E" w:rsidRDefault="00672057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I</w:t>
      </w:r>
      <w:r w:rsidR="00B309FE" w:rsidRPr="00AE3E1E">
        <w:rPr>
          <w:rFonts w:asciiTheme="majorHAnsi" w:hAnsiTheme="majorHAnsi" w:cs="Times New Roman"/>
          <w:sz w:val="20"/>
          <w:szCs w:val="20"/>
        </w:rPr>
        <w:t>dentification and Classification, Reporting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FINANCIAL MANAGEMENT POLICIES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Budgeting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Overview, Preparation and Adoption, Monitoring Performance, Budget Modifications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Annual Audit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 xml:space="preserve">Role of the Independent Auditor, How Often to </w:t>
      </w:r>
      <w:proofErr w:type="gramStart"/>
      <w:r w:rsidRPr="00AE3E1E">
        <w:rPr>
          <w:rFonts w:asciiTheme="majorHAnsi" w:hAnsiTheme="majorHAnsi" w:cs="Times New Roman"/>
          <w:sz w:val="20"/>
          <w:szCs w:val="20"/>
        </w:rPr>
        <w:t>Review ,the</w:t>
      </w:r>
      <w:proofErr w:type="gramEnd"/>
      <w:r w:rsidRPr="00AE3E1E">
        <w:rPr>
          <w:rFonts w:asciiTheme="majorHAnsi" w:hAnsiTheme="majorHAnsi" w:cs="Times New Roman"/>
          <w:sz w:val="20"/>
          <w:szCs w:val="20"/>
        </w:rPr>
        <w:t xml:space="preserve"> Selection of the Auditor, Selecting an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Auditor, Preparation for the Annual Audit, Concluding the Audit, Audit Committee Responsibilities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Insurance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Overview, Coverage Guidelines, Insurance Definitions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Record Retention</w:t>
      </w:r>
    </w:p>
    <w:p w:rsidR="00B309FE" w:rsidRPr="00AE3E1E" w:rsidRDefault="00B309FE" w:rsidP="00B309FE">
      <w:pPr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Policy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Functional Expense Allocations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Overview, Direct Charging of Costs, Allocation of Overhead Costs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POLICIES ASSOCIATED WTH SUBAWARDS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 xml:space="preserve">Making of </w:t>
      </w:r>
      <w:proofErr w:type="spellStart"/>
      <w:r w:rsidRPr="00AE3E1E">
        <w:rPr>
          <w:rFonts w:asciiTheme="majorHAnsi" w:hAnsiTheme="majorHAnsi" w:cs="Times New Roman"/>
          <w:b/>
          <w:bCs/>
          <w:sz w:val="20"/>
          <w:szCs w:val="20"/>
        </w:rPr>
        <w:t>Subawards</w:t>
      </w:r>
      <w:proofErr w:type="spellEnd"/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Monitoring of Sub recipients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POLICIES ASSOCIATED WTH FEDERAL AWARDS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Administration of Federal Awards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Definitions, Preparation and Review of Proposals, Post-Award Procedures, Compliance with Laws,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 xml:space="preserve">Regulations, and Provisions of Awards, Billing and Financial Reporting, Cash </w:t>
      </w:r>
      <w:proofErr w:type="spellStart"/>
      <w:r w:rsidRPr="00AE3E1E">
        <w:rPr>
          <w:rFonts w:asciiTheme="majorHAnsi" w:hAnsiTheme="majorHAnsi" w:cs="Times New Roman"/>
          <w:sz w:val="20"/>
          <w:szCs w:val="20"/>
        </w:rPr>
        <w:t>Drawdowns</w:t>
      </w:r>
      <w:proofErr w:type="spellEnd"/>
      <w:r w:rsidRPr="00AE3E1E">
        <w:rPr>
          <w:rFonts w:asciiTheme="majorHAnsi" w:hAnsiTheme="majorHAnsi" w:cs="Times New Roman"/>
          <w:sz w:val="20"/>
          <w:szCs w:val="20"/>
        </w:rPr>
        <w:t xml:space="preserve"> Under</w:t>
      </w: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lastRenderedPageBreak/>
        <w:t>Letters of Credit, Procurement Under Federal Awards, Solicitation of Bids from Vendors, Provisions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 xml:space="preserve">Included in all Contracts, Making of </w:t>
      </w:r>
      <w:proofErr w:type="spellStart"/>
      <w:r w:rsidRPr="00AE3E1E">
        <w:rPr>
          <w:rFonts w:asciiTheme="majorHAnsi" w:hAnsiTheme="majorHAnsi" w:cs="Times New Roman"/>
          <w:sz w:val="20"/>
          <w:szCs w:val="20"/>
        </w:rPr>
        <w:t>Subawards</w:t>
      </w:r>
      <w:proofErr w:type="spellEnd"/>
      <w:r w:rsidRPr="00AE3E1E">
        <w:rPr>
          <w:rFonts w:asciiTheme="majorHAnsi" w:hAnsiTheme="majorHAnsi" w:cs="Times New Roman"/>
          <w:sz w:val="20"/>
          <w:szCs w:val="20"/>
        </w:rPr>
        <w:t>, Monitoring of Sub recipients, Equipment and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Furniture Purchased with Federal Funds, Standards for Financial Management Systems, Budget</w:t>
      </w:r>
      <w:r w:rsidR="00E2732F">
        <w:rPr>
          <w:rFonts w:asciiTheme="majorHAnsi" w:hAnsiTheme="majorHAnsi" w:cs="Times New Roman"/>
          <w:sz w:val="20"/>
          <w:szCs w:val="20"/>
        </w:rPr>
        <w:t xml:space="preserve"> </w:t>
      </w:r>
      <w:r w:rsidRPr="00AE3E1E">
        <w:rPr>
          <w:rFonts w:asciiTheme="majorHAnsi" w:hAnsiTheme="majorHAnsi" w:cs="Times New Roman"/>
          <w:sz w:val="20"/>
          <w:szCs w:val="20"/>
        </w:rPr>
        <w:t>and Program Revisions, Close Out of Federal Awards</w:t>
      </w:r>
    </w:p>
    <w:p w:rsidR="00E2732F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</w:p>
    <w:p w:rsidR="00B309FE" w:rsidRPr="00AE3E1E" w:rsidRDefault="00B309FE" w:rsidP="00B309FE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0"/>
          <w:szCs w:val="20"/>
        </w:rPr>
      </w:pPr>
      <w:r w:rsidRPr="00AE3E1E">
        <w:rPr>
          <w:rFonts w:asciiTheme="majorHAnsi" w:hAnsiTheme="majorHAnsi" w:cs="Times New Roman"/>
          <w:b/>
          <w:bCs/>
          <w:sz w:val="20"/>
          <w:szCs w:val="20"/>
        </w:rPr>
        <w:t>Charging Costs to Federal Awards</w:t>
      </w:r>
    </w:p>
    <w:p w:rsidR="00B309FE" w:rsidRPr="00AE3E1E" w:rsidRDefault="00E2732F" w:rsidP="00B309FE">
      <w:pPr>
        <w:autoSpaceDE w:val="0"/>
        <w:autoSpaceDN w:val="0"/>
        <w:adjustRightInd w:val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Overview, Segregat</w:t>
      </w:r>
      <w:r w:rsidR="00B309FE" w:rsidRPr="00AE3E1E">
        <w:rPr>
          <w:rFonts w:asciiTheme="majorHAnsi" w:hAnsiTheme="majorHAnsi" w:cs="Times New Roman"/>
          <w:sz w:val="20"/>
          <w:szCs w:val="20"/>
        </w:rPr>
        <w:t xml:space="preserve">ing Unallowable from Allowable Costs, Criteria for </w:t>
      </w:r>
      <w:proofErr w:type="spellStart"/>
      <w:r w:rsidR="00B309FE" w:rsidRPr="00AE3E1E">
        <w:rPr>
          <w:rFonts w:asciiTheme="majorHAnsi" w:hAnsiTheme="majorHAnsi" w:cs="Times New Roman"/>
          <w:sz w:val="20"/>
          <w:szCs w:val="20"/>
        </w:rPr>
        <w:t>Allowability</w:t>
      </w:r>
      <w:proofErr w:type="spellEnd"/>
      <w:r w:rsidR="00B309FE" w:rsidRPr="00AE3E1E">
        <w:rPr>
          <w:rFonts w:asciiTheme="majorHAnsi" w:hAnsiTheme="majorHAnsi" w:cs="Times New Roman"/>
          <w:sz w:val="20"/>
          <w:szCs w:val="20"/>
        </w:rPr>
        <w:t>, Direct Costs,</w:t>
      </w:r>
    </w:p>
    <w:p w:rsidR="00B309FE" w:rsidRPr="00AE3E1E" w:rsidRDefault="00B309FE" w:rsidP="00B309FE">
      <w:pPr>
        <w:rPr>
          <w:rFonts w:asciiTheme="majorHAnsi" w:hAnsiTheme="majorHAnsi" w:cs="Times New Roman"/>
          <w:sz w:val="20"/>
          <w:szCs w:val="20"/>
        </w:rPr>
      </w:pPr>
      <w:r w:rsidRPr="00AE3E1E">
        <w:rPr>
          <w:rFonts w:asciiTheme="majorHAnsi" w:hAnsiTheme="majorHAnsi" w:cs="Times New Roman"/>
          <w:sz w:val="20"/>
          <w:szCs w:val="20"/>
        </w:rPr>
        <w:t>Indirect Costs, Accounting for Specific Elements of Cost, Cost Sharing and Matching</w:t>
      </w:r>
    </w:p>
    <w:sectPr w:rsidR="00B309FE" w:rsidRPr="00AE3E1E" w:rsidSect="00873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309FE"/>
    <w:rsid w:val="00672057"/>
    <w:rsid w:val="008732E2"/>
    <w:rsid w:val="009D0549"/>
    <w:rsid w:val="00A54317"/>
    <w:rsid w:val="00AE3E1E"/>
    <w:rsid w:val="00B309FE"/>
    <w:rsid w:val="00C06604"/>
    <w:rsid w:val="00E2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2011-08-18T17:07:00Z</dcterms:created>
  <dcterms:modified xsi:type="dcterms:W3CDTF">2011-08-18T17:07:00Z</dcterms:modified>
</cp:coreProperties>
</file>